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E71A3" w14:textId="77777777" w:rsidR="003137B6" w:rsidRPr="003137B6" w:rsidRDefault="003137B6" w:rsidP="003137B6">
      <w:pPr>
        <w:rPr>
          <w:b/>
          <w:bCs/>
        </w:rPr>
      </w:pPr>
      <w:r w:rsidRPr="003137B6">
        <w:rPr>
          <w:b/>
          <w:bCs/>
        </w:rPr>
        <w:t>Dana Sparkman, CFA</w:t>
      </w:r>
    </w:p>
    <w:p w14:paraId="37BA5E8B" w14:textId="77777777" w:rsidR="003137B6" w:rsidRPr="003137B6" w:rsidRDefault="003137B6" w:rsidP="003137B6">
      <w:pPr>
        <w:rPr>
          <w:i/>
          <w:iCs/>
        </w:rPr>
      </w:pPr>
      <w:r w:rsidRPr="003137B6">
        <w:rPr>
          <w:i/>
          <w:iCs/>
        </w:rPr>
        <w:t>Vice President of Financial Strategies Group</w:t>
      </w:r>
    </w:p>
    <w:p w14:paraId="03C9DCBB" w14:textId="77777777" w:rsidR="003137B6" w:rsidRDefault="003137B6" w:rsidP="003137B6"/>
    <w:p w14:paraId="03CDDAC4" w14:textId="7225AA6D" w:rsidR="00272999" w:rsidRDefault="003137B6" w:rsidP="003137B6">
      <w:r>
        <w:t>Dana Sparkman, CFA, is a Vice President in the Financial Strategies Group and runs the firm’s Municipal Credit Department. She manages a municipal credit database that covers more than 150,000 municipal bonds, providing clients with specific credit metrics essential in assessing municipal credit. Dana earned a bachelor’s degree in finance from the University of Central Oklahoma.</w:t>
      </w:r>
    </w:p>
    <w:sectPr w:rsidR="00272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fullPage"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B6"/>
    <w:rsid w:val="00272999"/>
    <w:rsid w:val="0031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A85BAC"/>
  <w15:chartTrackingRefBased/>
  <w15:docId w15:val="{E0B616D9-4116-3244-A4D1-BBC0C5DA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Jeffery Behymer</dc:creator>
  <cp:keywords/>
  <dc:description/>
  <cp:lastModifiedBy>Jeffery Behymer</cp:lastModifiedBy>
  <cp:revision>1</cp:revision>
  <dcterms:created xsi:type="dcterms:W3CDTF">2021-04-28T13:51:00Z</dcterms:created>
  <dcterms:modified xsi:type="dcterms:W3CDTF">2021-04-28T13:51:00Z</dcterms:modified>
</cp:coreProperties>
</file>